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78" w:lineRule="auto"/>
        <w:ind w:left="3884" w:right="3866" w:firstLine="0"/>
        <w:jc w:val="center"/>
        <w:rPr>
          <w:rFonts w:ascii="Times New Roman" w:cs="Times New Roman" w:eastAsia="Times New Roman" w:hAnsi="Times New Roman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FIŞA DISCIPLINEI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7" w:lineRule="auto"/>
        <w:rPr>
          <w:rFonts w:ascii="Times New Roman" w:cs="Times New Roman" w:eastAsia="Times New Roman" w:hAnsi="Times New Roman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29" w:lineRule="auto"/>
        <w:ind w:left="573" w:right="-20" w:hanging="36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Date despre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0.0" w:type="dxa"/>
        <w:jc w:val="left"/>
        <w:tblInd w:w="5.0" w:type="dxa"/>
        <w:tblLayout w:type="fixed"/>
        <w:tblLook w:val="0000"/>
      </w:tblPr>
      <w:tblGrid>
        <w:gridCol w:w="3795"/>
        <w:gridCol w:w="6395"/>
        <w:tblGridChange w:id="0">
          <w:tblGrid>
            <w:gridCol w:w="3795"/>
            <w:gridCol w:w="6395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1.1 Instituţia de învăţământ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Universitatea Creştină Partium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1.2 Facultatea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Facultatea de Litere și Arte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1.3 Departamentul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Limbă şi literatură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1.4 Domeniul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  Limbă şi literatură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1.5 Ciclul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Masterat</w:t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1.6 Programul de studii/Calificarea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Multilingvism și multiculturalitate / Masterat în filologie</w:t>
            </w:r>
          </w:p>
          <w:p w:rsidR="00000000" w:rsidDel="00000000" w:rsidP="00000000" w:rsidRDefault="00000000" w:rsidRPr="00000000" w14:paraId="00000012">
            <w:pPr>
              <w:spacing w:after="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0" w:before="11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before="29" w:lineRule="auto"/>
        <w:ind w:left="573" w:right="-20" w:hanging="36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Date despre disciplină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90.0" w:type="dxa"/>
        <w:jc w:val="left"/>
        <w:tblInd w:w="5.0" w:type="dxa"/>
        <w:tblLayout w:type="fixed"/>
        <w:tblLook w:val="0000"/>
      </w:tblPr>
      <w:tblGrid>
        <w:gridCol w:w="3229"/>
        <w:gridCol w:w="6961"/>
        <w:tblGridChange w:id="0">
          <w:tblGrid>
            <w:gridCol w:w="3229"/>
            <w:gridCol w:w="696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2.1 Denumirea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Etică și integritate academică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2.2 Titularul activităţii de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 Dr. lect. univ. Albu-Balogh Andrea</w:t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2.3 Titularul activităţii de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Dr. lect. univ. Albu-Balogh Andrea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2.4 Anul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2.5 Semestrul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2.6 Tipul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2.7 Regimul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obligatoriu</w:t>
            </w:r>
          </w:p>
        </w:tc>
      </w:tr>
    </w:tbl>
    <w:p w:rsidR="00000000" w:rsidDel="00000000" w:rsidP="00000000" w:rsidRDefault="00000000" w:rsidRPr="00000000" w14:paraId="00000025">
      <w:pPr>
        <w:spacing w:after="0" w:before="1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before="29" w:lineRule="auto"/>
        <w:ind w:left="573" w:right="-20" w:hanging="36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Timpul total estimat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90.0" w:type="dxa"/>
        <w:jc w:val="left"/>
        <w:tblInd w:w="5.0" w:type="dxa"/>
        <w:tblLayout w:type="fixed"/>
        <w:tblLook w:val="0000"/>
      </w:tblPr>
      <w:tblGrid>
        <w:gridCol w:w="3935"/>
        <w:gridCol w:w="708"/>
        <w:gridCol w:w="1844"/>
        <w:gridCol w:w="710"/>
        <w:gridCol w:w="2273"/>
        <w:gridCol w:w="720"/>
        <w:tblGridChange w:id="0">
          <w:tblGrid>
            <w:gridCol w:w="3935"/>
            <w:gridCol w:w="708"/>
            <w:gridCol w:w="1844"/>
            <w:gridCol w:w="710"/>
            <w:gridCol w:w="2273"/>
            <w:gridCol w:w="720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3.1 Număr de ore pe săptămână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din care3.2curs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3.3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3.4 Total ore din planul de învăţământ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din care3.5curs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3.6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Distribuţia fondului de timp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ore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Studiul după manual, support de curs, bibliografie şi notiţe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Documentare suplimentară în bibliotecă, pe platforme electronice de specialitate şi pe teren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Pregătire seminarii/laboratoare, teme, referate, portofolii şi eseuri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Tutoriat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Examinări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Alte activităţi…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ind w:left="105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3.7 Total ore studiu individual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3.8 Total ore pesemestru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3.9 Numărul de credite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70">
      <w:pPr>
        <w:spacing w:after="0" w:before="5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spacing w:after="0" w:before="29" w:lineRule="auto"/>
        <w:ind w:left="573" w:right="-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Precondiţii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(acolo unde este cazul)</w:t>
      </w:r>
    </w:p>
    <w:p w:rsidR="00000000" w:rsidDel="00000000" w:rsidP="00000000" w:rsidRDefault="00000000" w:rsidRPr="00000000" w14:paraId="00000072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2" w:lineRule="auto"/>
        <w:rPr>
          <w:rFonts w:ascii="Times New Roman" w:cs="Times New Roman" w:eastAsia="Times New Roman" w:hAnsi="Times New Roman"/>
          <w:sz w:val="2"/>
          <w:szCs w:val="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90.0" w:type="dxa"/>
        <w:jc w:val="left"/>
        <w:tblInd w:w="5.0" w:type="dxa"/>
        <w:tblLayout w:type="fixed"/>
        <w:tblLook w:val="0000"/>
      </w:tblPr>
      <w:tblGrid>
        <w:gridCol w:w="2093"/>
        <w:gridCol w:w="8097"/>
        <w:tblGridChange w:id="0">
          <w:tblGrid>
            <w:gridCol w:w="2093"/>
            <w:gridCol w:w="8097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4.1 de curriculum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4.2 de competenţe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spacing w:after="0" w:before="18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spacing w:after="0" w:before="29" w:lineRule="auto"/>
        <w:ind w:left="573" w:right="-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Condiţii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(acolo unde este cazul)</w:t>
      </w:r>
    </w:p>
    <w:p w:rsidR="00000000" w:rsidDel="00000000" w:rsidP="00000000" w:rsidRDefault="00000000" w:rsidRPr="00000000" w14:paraId="0000007A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before="2" w:lineRule="auto"/>
        <w:rPr>
          <w:rFonts w:ascii="Times New Roman" w:cs="Times New Roman" w:eastAsia="Times New Roman" w:hAnsi="Times New Roman"/>
          <w:sz w:val="2"/>
          <w:szCs w:val="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48.0" w:type="dxa"/>
        <w:jc w:val="left"/>
        <w:tblInd w:w="5.0" w:type="dxa"/>
        <w:tblLayout w:type="fixed"/>
        <w:tblLook w:val="0000"/>
      </w:tblPr>
      <w:tblGrid>
        <w:gridCol w:w="4928"/>
        <w:gridCol w:w="5420"/>
        <w:tblGridChange w:id="0">
          <w:tblGrid>
            <w:gridCol w:w="4928"/>
            <w:gridCol w:w="5420"/>
          </w:tblGrid>
        </w:tblGridChange>
      </w:tblGrid>
      <w:tr>
        <w:trPr>
          <w:cantSplit w:val="0"/>
          <w:trHeight w:val="6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5.1 de desfăşurare a cursului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widowControl w:val="1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vertAlign w:val="baseline"/>
                <w:rtl w:val="0"/>
              </w:rPr>
              <w:t xml:space="preserve">Sală de curs, dotată cu laptop, videoproiector, conexiune internet, in anumite cazuri biblioteca universității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5.2 de desfăşurare a seminarului/laboratorului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vertAlign w:val="baseline"/>
                <w:rtl w:val="0"/>
              </w:rPr>
              <w:t xml:space="preserve">Sală de seminar, dotată cu laptop, videoproiector, conexiune internet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spacing w:after="0" w:before="12" w:lineRule="auto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44" w:line="240" w:lineRule="auto"/>
        <w:ind w:left="213" w:right="-20" w:firstLine="0"/>
        <w:rPr>
          <w:rFonts w:ascii="Times New Roman" w:cs="Times New Roman" w:eastAsia="Times New Roman" w:hAnsi="Times New Roman"/>
          <w:sz w:val="20"/>
          <w:szCs w:val="20"/>
          <w:vertAlign w:val="baseline"/>
        </w:rPr>
        <w:sectPr>
          <w:pgSz w:h="15840" w:w="12240" w:orient="portrait"/>
          <w:pgMar w:bottom="280" w:top="1340" w:left="920" w:right="92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13"/>
          <w:szCs w:val="13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Cf.M.Of.al României, Partea I, Nr.800bis/13.XII.2011,Ordinul ministrului nr.5703 din18 oct.2011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-25399</wp:posOffset>
                </wp:positionV>
                <wp:extent cx="1828800" cy="127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431600" y="3774600"/>
                          <a:ext cx="1828800" cy="1270"/>
                          <a:chOff x="4431600" y="3774600"/>
                          <a:chExt cx="1828800" cy="9550"/>
                        </a:xfrm>
                      </wpg:grpSpPr>
                      <wpg:grpSp>
                        <wpg:cNvGrpSpPr/>
                        <wpg:grpSpPr>
                          <a:xfrm>
                            <a:off x="4431600" y="3779365"/>
                            <a:ext cx="1828800" cy="1270"/>
                            <a:chOff x="1133" y="-41"/>
                            <a:chExt cx="2880" cy="2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133" y="-41"/>
                              <a:ext cx="287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133" y="-41"/>
                              <a:ext cx="2880" cy="2"/>
                            </a:xfrm>
                            <a:custGeom>
                              <a:rect b="b" l="l" r="r" t="t"/>
                              <a:pathLst>
                                <a:path extrusionOk="0" h="2"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-25399</wp:posOffset>
                </wp:positionV>
                <wp:extent cx="1828800" cy="127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spacing w:after="0" w:before="29" w:lineRule="auto"/>
        <w:ind w:left="573" w:right="-20" w:hanging="36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Competenţe specifice acumulate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90.0" w:type="dxa"/>
        <w:jc w:val="left"/>
        <w:tblInd w:w="5.0" w:type="dxa"/>
        <w:tblLayout w:type="fixed"/>
        <w:tblLook w:val="0000"/>
      </w:tblPr>
      <w:tblGrid>
        <w:gridCol w:w="1527"/>
        <w:gridCol w:w="8663"/>
        <w:tblGridChange w:id="0">
          <w:tblGrid>
            <w:gridCol w:w="1527"/>
            <w:gridCol w:w="8663"/>
          </w:tblGrid>
        </w:tblGridChange>
      </w:tblGrid>
      <w:tr>
        <w:trPr>
          <w:cantSplit w:val="0"/>
          <w:trHeight w:val="2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profesionale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16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C1. Cunoașterea aprofundată a diferitelor metode de cercetare, utilizarea adecvată a terminologiei în comunicare cu medii profesionale diferite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ind w:left="16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C2. utilizarea cunoștiințelor de specialitate pentru explicarea și interpretarea unor situații noi în procesul cercetării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ind w:left="16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C3. utilizarea integrată a aparatului metodologic</w:t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ind w:left="16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C4. utilizarea nuanțată a criterilor și metodelor de evaluare în procesul formulării unor judecăți de valoare</w:t>
            </w:r>
          </w:p>
          <w:p w:rsidR="00000000" w:rsidDel="00000000" w:rsidP="00000000" w:rsidRDefault="00000000" w:rsidRPr="00000000" w14:paraId="0000008B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C5. elaborarea de proiecte profesionale de cercetare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transversale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102" w:right="143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C6. executarea unor sarcini profesionale complexe în mod independent</w:t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ind w:left="102" w:right="143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C7. conștientizarea responsabilităților care revin cercetătorului aflată în diferite situații (conducător de cercetare, membru) în procesul de cercetare</w:t>
            </w:r>
          </w:p>
          <w:p w:rsidR="00000000" w:rsidDel="00000000" w:rsidP="00000000" w:rsidRDefault="00000000" w:rsidRPr="00000000" w14:paraId="00000090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C8. autocontrolul procesului de învățare, analiza reflexivă a propriei activități profesionale</w:t>
            </w:r>
          </w:p>
        </w:tc>
      </w:tr>
    </w:tbl>
    <w:p w:rsidR="00000000" w:rsidDel="00000000" w:rsidP="00000000" w:rsidRDefault="00000000" w:rsidRPr="00000000" w14:paraId="00000091">
      <w:pPr>
        <w:spacing w:after="0" w:before="5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7. Obiectivele disciplinei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(reieşind din grila competenţelor specifice accumulate)</w:t>
      </w:r>
    </w:p>
    <w:p w:rsidR="00000000" w:rsidDel="00000000" w:rsidP="00000000" w:rsidRDefault="00000000" w:rsidRPr="00000000" w14:paraId="00000093">
      <w:pPr>
        <w:spacing w:after="0" w:before="2" w:lineRule="auto"/>
        <w:rPr>
          <w:rFonts w:ascii="Times New Roman" w:cs="Times New Roman" w:eastAsia="Times New Roman" w:hAnsi="Times New Roman"/>
          <w:sz w:val="2"/>
          <w:szCs w:val="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90.0" w:type="dxa"/>
        <w:jc w:val="left"/>
        <w:tblInd w:w="5.0" w:type="dxa"/>
        <w:tblLayout w:type="fixed"/>
        <w:tblLook w:val="0000"/>
      </w:tblPr>
      <w:tblGrid>
        <w:gridCol w:w="2660"/>
        <w:gridCol w:w="7530"/>
        <w:tblGridChange w:id="0">
          <w:tblGrid>
            <w:gridCol w:w="2660"/>
            <w:gridCol w:w="7530"/>
          </w:tblGrid>
        </w:tblGridChange>
      </w:tblGrid>
      <w:tr>
        <w:trPr>
          <w:cantSplit w:val="0"/>
          <w:trHeight w:val="1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7.1 Obiectivul general al</w:t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 utilizeze corect metodele însușite.</w:t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 fie capabil să lucreze în diferite baze de date în vederea întocmirii unei bibliografii care trebuie parcursă în procesul cercetării.</w:t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 fie conștient de regulile de citare.</w:t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să-și dezvolte capacitatea de analiză și sinteză.</w:t>
            </w:r>
          </w:p>
        </w:tc>
      </w:tr>
      <w:tr>
        <w:trPr>
          <w:cantSplit w:val="0"/>
          <w:trHeight w:val="18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7.2 Obiectivele specifice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105" w:right="171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 utilizeze corect și să poată defini conceptele de bază: metodă, definirea scopurilor unei cercetări, definirea sarcinilor și mijloacelor.</w:t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 fie capabil de a elabora un proiect de cercetare.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 fie capabil să-și identifice scopurile cercetării propuse.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ind w:right="17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Studentul să fie capabil să identifice metodele corespunzătoare temei de cercetare propusă.</w:t>
            </w:r>
          </w:p>
        </w:tc>
      </w:tr>
    </w:tbl>
    <w:p w:rsidR="00000000" w:rsidDel="00000000" w:rsidP="00000000" w:rsidRDefault="00000000" w:rsidRPr="00000000" w14:paraId="0000009F">
      <w:pPr>
        <w:spacing w:after="0" w:before="3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before="29" w:line="240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8. Conţinuturi</w:t>
      </w:r>
      <w:r w:rsidDel="00000000" w:rsidR="00000000" w:rsidRPr="00000000">
        <w:rPr>
          <w:rtl w:val="0"/>
        </w:rPr>
      </w:r>
    </w:p>
    <w:tbl>
      <w:tblPr>
        <w:tblStyle w:val="Table8"/>
        <w:tblW w:w="10340.0" w:type="dxa"/>
        <w:jc w:val="left"/>
        <w:tblInd w:w="5.0" w:type="dxa"/>
        <w:tblLayout w:type="fixed"/>
        <w:tblLook w:val="0000"/>
      </w:tblPr>
      <w:tblGrid>
        <w:gridCol w:w="5432"/>
        <w:gridCol w:w="3343"/>
        <w:gridCol w:w="1565"/>
        <w:tblGridChange w:id="0">
          <w:tblGrid>
            <w:gridCol w:w="5432"/>
            <w:gridCol w:w="3343"/>
            <w:gridCol w:w="1565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8.1 Curs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A tudományos kutatás etikai kérdései (1): etikai kódexek (UNESCO-FORD-Fields of Research and Development, MTA etikai kódexe, romániai etikai szabályozás)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tabs>
                <w:tab w:val="left" w:leader="none" w:pos="820"/>
              </w:tabs>
              <w:spacing w:after="0" w:before="1" w:line="240" w:lineRule="auto"/>
              <w:ind w:left="34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participativă, dezbatere, expunere, problematizare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A tudományos kutatás etikai kérdései (2): kutatásetika a gyakorlatban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tabs>
                <w:tab w:val="left" w:leader="none" w:pos="820"/>
              </w:tabs>
              <w:spacing w:after="0" w:before="1" w:line="240" w:lineRule="auto"/>
              <w:ind w:left="34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participativă, dezbatere, expunere, problematizare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kutatásmódszertan alapjai: a kutatások osztályozása, kutatási módszerek, kutatási terv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tabs>
                <w:tab w:val="left" w:leader="none" w:pos="820"/>
              </w:tabs>
              <w:spacing w:after="0" w:before="1" w:line="240" w:lineRule="auto"/>
              <w:ind w:left="34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participativă, dezbatere, expunere, problematizare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4. Könyvtárhasználat, anyagfeltárás. Az internetes források használata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tabs>
                <w:tab w:val="left" w:leader="none" w:pos="820"/>
              </w:tabs>
              <w:spacing w:after="0" w:before="4" w:line="240" w:lineRule="auto"/>
              <w:ind w:left="34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participativă, dezbatere, expunere, problematizare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5. A tudományos eredmények rendszerezése: Zotero program használata</w:t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tabs>
                <w:tab w:val="left" w:leader="none" w:pos="820"/>
              </w:tabs>
              <w:spacing w:after="0" w:before="4"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participativă, dezbatere, expunere, problematizare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6. A tudományos eredmények publikálása: a tudományos dolgozat és a tudományos előadás elkészítésének kritériumai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tabs>
                <w:tab w:val="left" w:leader="none" w:pos="820"/>
              </w:tabs>
              <w:spacing w:after="0" w:before="4"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participativă, dezbatere, expunere, problematizare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7. Colocviu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tabs>
                <w:tab w:val="left" w:leader="none" w:pos="820"/>
              </w:tabs>
              <w:spacing w:after="0" w:before="4" w:line="240" w:lineRule="auto"/>
              <w:ind w:right="-2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Revizuirea cunoștințelor din timpul anului, aspectele noi ale  cunoștințelor dobândite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spacing w:after="0" w:before="2" w:lineRule="auto"/>
        <w:rPr>
          <w:rFonts w:ascii="Times New Roman" w:cs="Times New Roman" w:eastAsia="Times New Roman" w:hAnsi="Times New Roman"/>
          <w:sz w:val="9"/>
          <w:szCs w:val="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before="14" w:lineRule="auto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348.0" w:type="dxa"/>
        <w:jc w:val="left"/>
        <w:tblInd w:w="5.0" w:type="dxa"/>
        <w:tblLayout w:type="fixed"/>
        <w:tblLook w:val="0000"/>
      </w:tblPr>
      <w:tblGrid>
        <w:gridCol w:w="5353"/>
        <w:gridCol w:w="3121"/>
        <w:gridCol w:w="1874"/>
        <w:tblGridChange w:id="0">
          <w:tblGrid>
            <w:gridCol w:w="5353"/>
            <w:gridCol w:w="3121"/>
            <w:gridCol w:w="1874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8.2 Seminar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A tudományos kutatás etikai kérdései (1)</w:t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spacing w:after="0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A tudományos kutatás etikai kérdései (2)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spacing w:after="0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A kutatásmódszertan alapjai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spacing w:after="0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4. Könyvtárhasználat, anyagfeltárás. Az internetes források használata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spacing w:after="0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5. A tudományos eredmények publikálása (1)</w:t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spacing w:after="0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6. A tudományos eredmények publikálása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spacing w:after="0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Revizuirea cunoștințelor din timpul anului, aspectele noi ale  cunoștințelor dobândite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spacing w:after="0" w:lineRule="auto"/>
              <w:ind w:left="105" w:right="-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Prelegere participativă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spacing w:after="0" w:lineRule="auto"/>
        <w:ind w:right="-2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Rule="auto"/>
        <w:ind w:left="102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Bibliografie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before="5" w:lineRule="auto"/>
        <w:rPr>
          <w:rFonts w:ascii="Times New Roman" w:cs="Times New Roman" w:eastAsia="Times New Roman" w:hAnsi="Times New Roman"/>
          <w:sz w:val="11"/>
          <w:szCs w:val="1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Albu-Balogh Andrea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Egy kutatás kérdései, hiátusai és eredményei. Karácsony Benő életútjának nyomában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 In: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János Szabolcs, Verók Attila, Albu-Balogh Andrea (ed.):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Az irodalom és a kultúra éltető közege: a lokális és a regionális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Kolozsvár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Erdélyi Múzeum-Egyesület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2020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pp. 171–189.</w:t>
      </w:r>
    </w:p>
    <w:p w:rsidR="00000000" w:rsidDel="00000000" w:rsidP="00000000" w:rsidRDefault="00000000" w:rsidRPr="00000000" w14:paraId="000000DD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Babbie, Earl R.: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A társadalomtudományi kutatás gyakorlata.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Balassi, Bp, 2003.</w:t>
      </w:r>
    </w:p>
    <w:p w:rsidR="00000000" w:rsidDel="00000000" w:rsidP="00000000" w:rsidRDefault="00000000" w:rsidRPr="00000000" w14:paraId="000000DE">
      <w:pPr>
        <w:numPr>
          <w:ilvl w:val="0"/>
          <w:numId w:val="2"/>
        </w:numPr>
        <w:spacing w:after="0" w:lineRule="auto"/>
        <w:ind w:left="714" w:hanging="357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Fóris Ágota: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Kutatásról nyelvészeknek. Bevezetés a tudományos kutatás módszertanába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 Bp., Nemzeti Könyvkiadó, 2008.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Gyurgyák János: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tudományos írás alapjai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Osiris, Bp., 2019.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Gyurgyák János: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Szerzők és szerkesztők kézikönyve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Bp., Osiris, 2005, 2019. </w:t>
      </w:r>
    </w:p>
    <w:p w:rsidR="00000000" w:rsidDel="00000000" w:rsidP="00000000" w:rsidRDefault="00000000" w:rsidRPr="00000000" w14:paraId="000000E1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Kontra József: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A pedagógiai kutatások módszertana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 Elektronikus könyv. Kaposvár, 2006. Elérhető: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vertAlign w:val="baseline"/>
            <w:rtl w:val="0"/>
          </w:rPr>
          <w:t xml:space="preserve">http://janus.ttk.pte.hu/tamop/kaposvari_anyag/kontra_jozsef/index.html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2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Körtvélyesi Zsolt: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Bevezetés a tudományos dolgozat írásába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 Bp., ELTE Eötvös Kiadó, 2018. </w:t>
      </w:r>
    </w:p>
    <w:p w:rsidR="00000000" w:rsidDel="00000000" w:rsidP="00000000" w:rsidRDefault="00000000" w:rsidRPr="00000000" w14:paraId="000000E3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Lengyelné Molnár Tünde: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Kutatástervezés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, Eger, Eszterházy Károly Főiskola, 2014. Elérhető: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vertAlign w:val="baseline"/>
            <w:rtl w:val="0"/>
          </w:rPr>
          <w:t xml:space="preserve">http://www.tankonyvtar.hu/hu/tartalom/tamop412A/2011-0021_21_kutatastervezes_pdf/adatok.html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Majoros Pál: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A kutatásmódszertan alapjai. Tanácsok, tippek, trükkök (nem csak szakdolgozat-íróknak)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, Perfekt, Bp., 2004.</w:t>
      </w:r>
    </w:p>
    <w:p w:rsidR="00000000" w:rsidDel="00000000" w:rsidP="00000000" w:rsidRDefault="00000000" w:rsidRPr="00000000" w14:paraId="000000E5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Margitay Tihamér: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Az érvelés mestersége: érvelések elemzése, értékelése és kritikája.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Typotex, Bp, 2004.</w:t>
      </w:r>
    </w:p>
    <w:p w:rsidR="00000000" w:rsidDel="00000000" w:rsidP="00000000" w:rsidRDefault="00000000" w:rsidRPr="00000000" w14:paraId="000000E6">
      <w:pPr>
        <w:widowControl w:val="1"/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Umberto Eco: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Hogyan írjunk szakdolgozatot?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Kairosz, Bp., 1996.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Mihaela Miroiu (coord.); Daniela Cutaș; Ana Bulai; Liviu Andreescu; Daniela Ion. Etica în universități. Cum este și cum ar trebui să fie: cercetare și cod. România: Ministerul Educației și Cercetării, 2005;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Silvia Puiu; Radu Florin Ogarca. „Ethics Management in Higher Education System of Romania”. În: Procedia Economics and Finance, nr. 23, 2015, pp. 599-603.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Emanuel Socaciu, Constantin Vică, Emilian Mihailov, Toni Gibea, Valentin Mureșan, Mihaela Constantinescu: Etică și integritate academică. Ed. Univ. Bucuresti, 2018.</w:t>
      </w:r>
    </w:p>
    <w:p w:rsidR="00000000" w:rsidDel="00000000" w:rsidP="00000000" w:rsidRDefault="00000000" w:rsidRPr="00000000" w14:paraId="000000EA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Daniela Sarpe, Delia Popescu,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Standarde de integritate în învățământul universitar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, București, 2011. </w:t>
      </w:r>
    </w:p>
    <w:p w:rsidR="00000000" w:rsidDel="00000000" w:rsidP="00000000" w:rsidRDefault="00000000" w:rsidRPr="00000000" w14:paraId="000000EB">
      <w:pPr>
        <w:spacing w:after="0" w:before="69" w:line="241" w:lineRule="auto"/>
        <w:ind w:right="326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9. Coroborarea conţinuturilor disciplinei cu aşteptările reprezentanţilor comunităţii epistemice, asociaţilor profesionale şi angajatori reprezentativi din domeniul aferent programului</w:t>
      </w:r>
      <w:r w:rsidDel="00000000" w:rsidR="00000000" w:rsidRPr="00000000">
        <w:rPr>
          <w:rtl w:val="0"/>
        </w:rPr>
      </w:r>
    </w:p>
    <w:tbl>
      <w:tblPr>
        <w:tblStyle w:val="Table10"/>
        <w:tblW w:w="105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540"/>
        <w:tblGridChange w:id="0">
          <w:tblGrid>
            <w:gridCol w:w="105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Conţinutul disciplinei este în concordanţă cu ceea ce se practică în alte centre universitare din tară si din străinătate.  Pentru o mai bună adaptare la cerinţele pieţei muncii a conţinutului disciplinei s-au organizat discutii si întâlniri atât cu profesori de limbă si literatură maghiara din regiune, cât si cu reprezentanţii angajatorilor din mediul socio-cultural si de afaceri.</w:t>
            </w:r>
          </w:p>
          <w:p w:rsidR="00000000" w:rsidDel="00000000" w:rsidP="00000000" w:rsidRDefault="00000000" w:rsidRPr="00000000" w14:paraId="000000ED">
            <w:pPr>
              <w:spacing w:after="0" w:before="69" w:line="241" w:lineRule="auto"/>
              <w:ind w:right="326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spacing w:after="0" w:lineRule="auto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10. Evaluare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before="29" w:lineRule="auto"/>
        <w:ind w:left="213" w:right="-20" w:firstLine="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190.0" w:type="dxa"/>
        <w:jc w:val="left"/>
        <w:tblInd w:w="5.0" w:type="dxa"/>
        <w:tblLayout w:type="fixed"/>
        <w:tblLook w:val="0000"/>
      </w:tblPr>
      <w:tblGrid>
        <w:gridCol w:w="2518"/>
        <w:gridCol w:w="2410"/>
        <w:gridCol w:w="2715"/>
        <w:gridCol w:w="2547"/>
        <w:tblGridChange w:id="0">
          <w:tblGrid>
            <w:gridCol w:w="2518"/>
            <w:gridCol w:w="2410"/>
            <w:gridCol w:w="2715"/>
            <w:gridCol w:w="254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Tip activitate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10.1 Criterii de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spacing w:after="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10.2 Metode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10.3 Pondere din nota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finală</w:t>
            </w:r>
          </w:p>
        </w:tc>
      </w:tr>
      <w:tr>
        <w:trPr>
          <w:cantSplit w:val="0"/>
          <w:trHeight w:val="3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10.4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corectitudinea si completitudinea cunostinţelor; 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coerenţa logică; </w:t>
            </w:r>
          </w:p>
          <w:p w:rsidR="00000000" w:rsidDel="00000000" w:rsidP="00000000" w:rsidRDefault="00000000" w:rsidRPr="00000000" w14:paraId="000000FA">
            <w:pPr>
              <w:spacing w:after="0" w:before="9" w:line="240" w:lineRule="auto"/>
              <w:ind w:right="85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- gradul de asimilare a limbajului de specialitate; </w:t>
            </w:r>
          </w:p>
          <w:p w:rsidR="00000000" w:rsidDel="00000000" w:rsidP="00000000" w:rsidRDefault="00000000" w:rsidRPr="00000000" w14:paraId="000000FB">
            <w:pPr>
              <w:spacing w:after="0" w:before="9" w:line="240" w:lineRule="auto"/>
              <w:ind w:right="85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- sensibilitatea pentru fenomenele literaturii;</w:t>
            </w:r>
          </w:p>
          <w:p w:rsidR="00000000" w:rsidDel="00000000" w:rsidP="00000000" w:rsidRDefault="00000000" w:rsidRPr="00000000" w14:paraId="000000FC">
            <w:pPr>
              <w:spacing w:after="0" w:before="9" w:line="240" w:lineRule="auto"/>
              <w:ind w:right="85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-criterii ce vizeaza aspectele atitudinale: constiinciozitatea, interesul pentru studiu 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- aplicarea în mod practic a cunoștințelor dobândite la curs (vezi mai jos);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4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10.5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spacing w:after="0" w:line="239" w:lineRule="auto"/>
              <w:ind w:left="105" w:right="85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 Până la sfârșitul semestrului este așteptat, ca studentul să efectueze următoarele lucruri: 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3"/>
              </w:numPr>
              <w:spacing w:after="0" w:line="240" w:lineRule="auto"/>
              <w:ind w:left="465" w:right="-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predarea unui proiect de cercetare;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3"/>
              </w:numPr>
              <w:spacing w:after="0" w:line="240" w:lineRule="auto"/>
              <w:ind w:left="465" w:right="-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susținerea poiectului în cadrul seminarului.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100%</w:t>
            </w:r>
          </w:p>
        </w:tc>
      </w:tr>
      <w:tr>
        <w:trPr>
          <w:cantSplit w:val="0"/>
          <w:trHeight w:val="172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spacing w:after="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10.6 Standard minim de performanţă</w:t>
            </w:r>
          </w:p>
          <w:p w:rsidR="00000000" w:rsidDel="00000000" w:rsidP="00000000" w:rsidRDefault="00000000" w:rsidRPr="00000000" w14:paraId="0000010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Cunoașterea elementelor fundamentale de teorie, prezentarea curentelor/conceptelor majore, folosirea adecvată a terminologiei, aplicarea cunoștințelor teoretice pe parcursul analizelor literare/lingvistice.</w:t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Intelegerea si interpretarea profesionala ale fenomenelor culturii populare.</w:t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Pentru promovarea cursului este necesara atat promovarea cerintelor cursului cat si cerintelor seminarului.</w:t>
            </w:r>
          </w:p>
        </w:tc>
      </w:tr>
    </w:tbl>
    <w:p w:rsidR="00000000" w:rsidDel="00000000" w:rsidP="00000000" w:rsidRDefault="00000000" w:rsidRPr="00000000" w14:paraId="0000010C">
      <w:pPr>
        <w:spacing w:after="0" w:before="5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0" w:before="4" w:lineRule="auto"/>
        <w:rPr>
          <w:rFonts w:ascii="Times New Roman" w:cs="Times New Roman" w:eastAsia="Times New Roman" w:hAnsi="Times New Roman"/>
          <w:sz w:val="10"/>
          <w:szCs w:val="1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199.0" w:type="dxa"/>
        <w:jc w:val="left"/>
        <w:tblLayout w:type="fixed"/>
        <w:tblLook w:val="0000"/>
      </w:tblPr>
      <w:tblGrid>
        <w:gridCol w:w="2370"/>
        <w:gridCol w:w="4054"/>
        <w:gridCol w:w="3775"/>
        <w:tblGridChange w:id="0">
          <w:tblGrid>
            <w:gridCol w:w="2370"/>
            <w:gridCol w:w="4054"/>
            <w:gridCol w:w="3775"/>
          </w:tblGrid>
        </w:tblGridChange>
      </w:tblGrid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E">
            <w:pPr>
              <w:spacing w:after="0" w:before="69" w:line="240" w:lineRule="auto"/>
              <w:ind w:left="40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Data completării</w:t>
            </w:r>
          </w:p>
          <w:p w:rsidR="00000000" w:rsidDel="00000000" w:rsidP="00000000" w:rsidRDefault="00000000" w:rsidRPr="00000000" w14:paraId="0000010F">
            <w:pPr>
              <w:spacing w:after="0" w:before="69" w:line="240" w:lineRule="auto"/>
              <w:ind w:left="40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13.09.2024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0">
            <w:pPr>
              <w:spacing w:after="0" w:before="69" w:line="240" w:lineRule="auto"/>
              <w:ind w:left="667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Semnătura titularului de curs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1">
            <w:pPr>
              <w:spacing w:after="0" w:before="69" w:line="240" w:lineRule="auto"/>
              <w:ind w:left="413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Semnătura titularului de seminar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2">
            <w:pPr>
              <w:spacing w:after="0" w:before="5" w:lineRule="auto"/>
              <w:rPr>
                <w:rFonts w:ascii="Times New Roman" w:cs="Times New Roman" w:eastAsia="Times New Roman" w:hAnsi="Times New Roman"/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4">
            <w:pPr>
              <w:spacing w:after="0" w:before="5" w:lineRule="auto"/>
              <w:rPr>
                <w:rFonts w:ascii="Times New Roman" w:cs="Times New Roman" w:eastAsia="Times New Roman" w:hAnsi="Times New Roman"/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ind w:left="609" w:right="-2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Dr. Albu-Balogh Andrea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      Dr. Albu-Balogh Andrea</w:t>
            </w:r>
          </w:p>
        </w:tc>
      </w:tr>
    </w:tbl>
    <w:p w:rsidR="00000000" w:rsidDel="00000000" w:rsidP="00000000" w:rsidRDefault="00000000" w:rsidRPr="00000000" w14:paraId="00000117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leader="none" w:pos="6380"/>
        </w:tabs>
        <w:spacing w:after="0" w:before="29" w:line="240" w:lineRule="auto"/>
        <w:ind w:left="213" w:right="-2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Data avizării în departament</w:t>
        <w:tab/>
        <w:t xml:space="preserve">Semnătura directorului de departament</w:t>
      </w:r>
    </w:p>
    <w:p w:rsidR="00000000" w:rsidDel="00000000" w:rsidP="00000000" w:rsidRDefault="00000000" w:rsidRPr="00000000" w14:paraId="0000011B">
      <w:pPr>
        <w:spacing w:after="0" w:before="16" w:lineRule="auto"/>
        <w:ind w:firstLine="213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16.09.2024       </w:t>
        <w:tab/>
        <w:tab/>
        <w:tab/>
        <w:tab/>
        <w:tab/>
        <w:tab/>
        <w:tab/>
        <w:t xml:space="preserve">Lect. univ. dr. Antal-Fórizs Ioan James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280" w:top="1060" w:left="920" w:right="92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57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93" w:hanging="359.999999999999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33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0"/>
      <w:numFmt w:val="bullet"/>
      <w:lvlText w:val="-"/>
      <w:lvlJc w:val="left"/>
      <w:pPr>
        <w:ind w:left="465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18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90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62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34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06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78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50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225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xc">
    <w:name w:val="xc"/>
    <w:basedOn w:val="DefaultParagraphFont"/>
    <w:next w:val="xc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ListParagraph1">
    <w:name w:val="List Paragraph1"/>
    <w:basedOn w:val="Normal"/>
    <w:next w:val="ListParagraph1"/>
    <w:autoRedefine w:val="0"/>
    <w:hidden w:val="0"/>
    <w:qFormat w:val="0"/>
    <w:pPr>
      <w:widowControl w:val="1"/>
      <w:numPr>
        <w:ilvl w:val="0"/>
        <w:numId w:val="5"/>
      </w:numPr>
      <w:suppressAutoHyphens w:val="1"/>
      <w:spacing w:after="200" w:line="240" w:lineRule="auto"/>
      <w:ind w:leftChars="-1" w:rightChars="0" w:firstLineChars="-1"/>
      <w:contextualSpacing w:val="1"/>
      <w:jc w:val="both"/>
      <w:textDirection w:val="btLr"/>
      <w:textAlignment w:val="top"/>
      <w:outlineLvl w:val="0"/>
    </w:pPr>
    <w:rPr>
      <w:rFonts w:ascii="Times New Roman" w:cs="Tw Cen MT" w:eastAsia="Times New Roman" w:hAnsi="Times New Roman"/>
      <w:color w:val="404040"/>
      <w:w w:val="100"/>
      <w:position w:val="-1"/>
      <w:sz w:val="20"/>
      <w:szCs w:val="24"/>
      <w:effect w:val="none"/>
      <w:vertAlign w:val="baseline"/>
      <w:cs w:val="0"/>
      <w:em w:val="none"/>
      <w:lang w:bidi="ar-SA" w:eastAsia="en-US" w:val="hu-HU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1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Verdana" w:cs="Times New Roman" w:hAnsi="Verdana"/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Verdana" w:hAnsi="Verdana"/>
      <w:w w:val="100"/>
      <w:position w:val="-1"/>
      <w:sz w:val="24"/>
      <w:effect w:val="none"/>
      <w:vertAlign w:val="baseline"/>
      <w:cs w:val="0"/>
      <w:em w:val="none"/>
      <w:lang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1"/>
      <w:suppressAutoHyphens w:val="1"/>
      <w:spacing w:after="0" w:line="240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ankonyvtar.hu/hu/tartalom/tamop412A/2011-0021_21_kutatastervezes_pdf/adatok.htm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janus.ttk.pte.hu/tamop/kaposvari_anyag/kontra_jozsef/index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zmv/CCpg5BdoMlv5+bdVBw6dHA==">CgMxLjA4AHIhMVJzcFRqbGZUdEZGcUhRbUxGRDdfTm9GdG53UWF6a2VJ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2017-09-27T23:45:00Z</dcterms:created>
  <dc:creator>Lorena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